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0F" w:rsidRDefault="00A06692">
      <w:pPr>
        <w:spacing w:after="0" w:line="259" w:lineRule="auto"/>
        <w:ind w:left="3600" w:firstLine="0"/>
        <w:jc w:val="left"/>
      </w:pPr>
      <w:bookmarkStart w:id="0" w:name="_GoBack"/>
      <w:bookmarkEnd w:id="0"/>
      <w:r>
        <w:rPr>
          <w:sz w:val="24"/>
        </w:rPr>
        <w:t xml:space="preserve">  Fair Notice Letter </w:t>
      </w:r>
    </w:p>
    <w:p w:rsidR="00E27D0F" w:rsidRDefault="00A06692">
      <w:pPr>
        <w:tabs>
          <w:tab w:val="right" w:pos="8990"/>
        </w:tabs>
        <w:spacing w:after="102" w:line="259" w:lineRule="auto"/>
        <w:ind w:left="0" w:right="-223" w:firstLine="0"/>
        <w:jc w:val="left"/>
      </w:pPr>
      <w:r>
        <w:rPr>
          <w:noProof/>
        </w:rPr>
        <w:drawing>
          <wp:anchor distT="0" distB="0" distL="114300" distR="114300" simplePos="0" relativeHeight="251658240" behindDoc="0" locked="0" layoutInCell="1" allowOverlap="0">
            <wp:simplePos x="0" y="0"/>
            <wp:positionH relativeFrom="column">
              <wp:posOffset>-266692</wp:posOffset>
            </wp:positionH>
            <wp:positionV relativeFrom="paragraph">
              <wp:posOffset>-25907</wp:posOffset>
            </wp:positionV>
            <wp:extent cx="980694" cy="605028"/>
            <wp:effectExtent l="0" t="0" r="0" b="0"/>
            <wp:wrapSquare wrapText="bothSides"/>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4"/>
                    <a:stretch>
                      <a:fillRect/>
                    </a:stretch>
                  </pic:blipFill>
                  <pic:spPr>
                    <a:xfrm>
                      <a:off x="0" y="0"/>
                      <a:ext cx="980694" cy="605028"/>
                    </a:xfrm>
                    <a:prstGeom prst="rect">
                      <a:avLst/>
                    </a:prstGeom>
                  </pic:spPr>
                </pic:pic>
              </a:graphicData>
            </a:graphic>
          </wp:anchor>
        </w:drawing>
      </w:r>
      <w:r>
        <w:t xml:space="preserve"> </w:t>
      </w:r>
      <w:r>
        <w:tab/>
      </w:r>
      <w:r>
        <w:rPr>
          <w:noProof/>
        </w:rPr>
        <w:drawing>
          <wp:inline distT="0" distB="0" distL="0" distR="0">
            <wp:extent cx="749808" cy="826008"/>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5"/>
                    <a:stretch>
                      <a:fillRect/>
                    </a:stretch>
                  </pic:blipFill>
                  <pic:spPr>
                    <a:xfrm>
                      <a:off x="0" y="0"/>
                      <a:ext cx="749808" cy="826008"/>
                    </a:xfrm>
                    <a:prstGeom prst="rect">
                      <a:avLst/>
                    </a:prstGeom>
                  </pic:spPr>
                </pic:pic>
              </a:graphicData>
            </a:graphic>
          </wp:inline>
        </w:drawing>
      </w:r>
    </w:p>
    <w:p w:rsidR="00E27D0F" w:rsidRDefault="00A06692">
      <w:pPr>
        <w:spacing w:after="217" w:line="259" w:lineRule="auto"/>
        <w:ind w:left="0" w:firstLine="0"/>
        <w:jc w:val="left"/>
      </w:pPr>
      <w:r>
        <w:t xml:space="preserve"> </w:t>
      </w:r>
    </w:p>
    <w:p w:rsidR="00E27D0F" w:rsidRDefault="00A06692">
      <w:pPr>
        <w:ind w:left="-5"/>
      </w:pPr>
      <w:r>
        <w:t xml:space="preserve">August 18, 2017 </w:t>
      </w:r>
    </w:p>
    <w:p w:rsidR="00E27D0F" w:rsidRDefault="00A06692">
      <w:pPr>
        <w:ind w:left="-5"/>
      </w:pPr>
      <w:r>
        <w:t xml:space="preserve">Dear Parents/Guardians: </w:t>
      </w:r>
    </w:p>
    <w:p w:rsidR="00E27D0F" w:rsidRDefault="00A06692">
      <w:pPr>
        <w:ind w:left="-5"/>
      </w:pPr>
      <w:r>
        <w:t>The safety of our children is of top priority.  We, the Living Sky School Division (LSSD) and Light of Christ Catholic Schools (LOCCS), have been collaborating with our community partners and together we have developed a plan for responding to high-risk be</w:t>
      </w:r>
      <w:r>
        <w:t xml:space="preserve">haviours.  High-risk behaviours include, but are not limited to, possession of weapons, bomb threats and threats to injure oneself or others. </w:t>
      </w:r>
    </w:p>
    <w:p w:rsidR="00E27D0F" w:rsidRDefault="00A06692">
      <w:pPr>
        <w:ind w:left="-5"/>
      </w:pPr>
      <w:r>
        <w:t>This letter is to inform you that LSSD/LOCCS have administrative procedures that require principals to initiate t</w:t>
      </w:r>
      <w:r>
        <w:t>he completion of a “threat assessment” in all cases of students displaying any type of high-risk behaviour.  Should you wish to review the “</w:t>
      </w:r>
      <w:r>
        <w:rPr>
          <w:sz w:val="19"/>
        </w:rPr>
        <w:t>Administrative Procedure 626 - Violence Threat/Risk Assessment</w:t>
      </w:r>
      <w:proofErr w:type="gramStart"/>
      <w:r>
        <w:t>”(</w:t>
      </w:r>
      <w:proofErr w:type="gramEnd"/>
      <w:r>
        <w:t>LOC) or “</w:t>
      </w:r>
      <w:r>
        <w:rPr>
          <w:sz w:val="19"/>
        </w:rPr>
        <w:t>Administrative Procedure 4.17 Safe Schools</w:t>
      </w:r>
      <w:r>
        <w:t>”</w:t>
      </w:r>
      <w:r>
        <w:t xml:space="preserve"> (LSSD) please visit our websites at either </w:t>
      </w:r>
      <w:r>
        <w:rPr>
          <w:color w:val="0000FF"/>
          <w:u w:val="single" w:color="0000FF"/>
        </w:rPr>
        <w:t>www.loccsd.ca</w:t>
      </w:r>
      <w:r>
        <w:t xml:space="preserve"> or </w:t>
      </w:r>
      <w:r>
        <w:rPr>
          <w:color w:val="0000FF"/>
          <w:u w:val="single" w:color="0000FF"/>
        </w:rPr>
        <w:t>www.lskysd.ca</w:t>
      </w:r>
      <w:r>
        <w:t xml:space="preserve">. The purpose of a threat assessment is to determine how best to support high-risk students so that their behaviour does not become hurtful or destructive.  If your child comes home </w:t>
      </w:r>
      <w:r>
        <w:t xml:space="preserve">and tells you that a student has behaved in a threatening way at school, please </w:t>
      </w:r>
      <w:proofErr w:type="gramStart"/>
      <w:r>
        <w:t>advise</w:t>
      </w:r>
      <w:proofErr w:type="gramEnd"/>
      <w:r>
        <w:t xml:space="preserve"> your principal and be assured that your principal will be taking measures to deal with the situation in a positive and proactive manner.  If your principal invites you t</w:t>
      </w:r>
      <w:r>
        <w:t xml:space="preserve">o a meeting to discuss safety concerns about your own child, please be assured that the procedure is being followed and that the primary goal is safety, not punishment. </w:t>
      </w:r>
    </w:p>
    <w:p w:rsidR="00E27D0F" w:rsidRDefault="00A06692">
      <w:pPr>
        <w:ind w:left="-5"/>
      </w:pPr>
      <w:r>
        <w:t>This letter is intended to serve our community with fair notice that we, as school com</w:t>
      </w:r>
      <w:r>
        <w:t xml:space="preserve">munities, will not accept “no response” to a serious threat.  Our goal is to respond to all threats in a professional manner that provides for a healthy and caring learning environment. </w:t>
      </w:r>
    </w:p>
    <w:p w:rsidR="00E27D0F" w:rsidRDefault="00A06692">
      <w:pPr>
        <w:ind w:left="-5"/>
      </w:pPr>
      <w:r>
        <w:t>We are pleased to provide, in conjunction with our community partners</w:t>
      </w:r>
      <w:r>
        <w:t xml:space="preserve">, a safe environment for all of our students. </w:t>
      </w:r>
    </w:p>
    <w:p w:rsidR="00E27D0F" w:rsidRDefault="00A06692">
      <w:pPr>
        <w:spacing w:after="0"/>
        <w:ind w:left="-5"/>
      </w:pPr>
      <w:r>
        <w:t xml:space="preserve">Sincerely, </w:t>
      </w:r>
    </w:p>
    <w:p w:rsidR="00E27D0F" w:rsidRDefault="00A06692">
      <w:pPr>
        <w:spacing w:after="11" w:line="259" w:lineRule="auto"/>
        <w:ind w:left="341" w:firstLine="0"/>
        <w:jc w:val="left"/>
      </w:pPr>
      <w:r>
        <w:rPr>
          <w:rFonts w:ascii="Calibri" w:eastAsia="Calibri" w:hAnsi="Calibri" w:cs="Calibri"/>
          <w:noProof/>
          <w:sz w:val="22"/>
        </w:rPr>
        <mc:AlternateContent>
          <mc:Choice Requires="wpg">
            <w:drawing>
              <wp:inline distT="0" distB="0" distL="0" distR="0">
                <wp:extent cx="4809744" cy="630936"/>
                <wp:effectExtent l="0" t="0" r="0" b="0"/>
                <wp:docPr id="884" name="Group 884"/>
                <wp:cNvGraphicFramePr/>
                <a:graphic xmlns:a="http://schemas.openxmlformats.org/drawingml/2006/main">
                  <a:graphicData uri="http://schemas.microsoft.com/office/word/2010/wordprocessingGroup">
                    <wpg:wgp>
                      <wpg:cNvGrpSpPr/>
                      <wpg:grpSpPr>
                        <a:xfrm>
                          <a:off x="0" y="0"/>
                          <a:ext cx="4809744" cy="630936"/>
                          <a:chOff x="0" y="0"/>
                          <a:chExt cx="4809744" cy="630936"/>
                        </a:xfrm>
                      </wpg:grpSpPr>
                      <wps:wsp>
                        <wps:cNvPr id="44" name="Rectangle 44"/>
                        <wps:cNvSpPr/>
                        <wps:spPr>
                          <a:xfrm>
                            <a:off x="144014" y="34131"/>
                            <a:ext cx="41574" cy="148827"/>
                          </a:xfrm>
                          <a:prstGeom prst="rect">
                            <a:avLst/>
                          </a:prstGeom>
                          <a:ln>
                            <a:noFill/>
                          </a:ln>
                        </wps:spPr>
                        <wps:txbx>
                          <w:txbxContent>
                            <w:p w:rsidR="00E27D0F" w:rsidRDefault="00A06692">
                              <w:pPr>
                                <w:spacing w:after="160" w:line="259" w:lineRule="auto"/>
                                <w:ind w:left="0" w:firstLine="0"/>
                                <w:jc w:val="left"/>
                              </w:pPr>
                              <w:r>
                                <w:t xml:space="preserve"> </w:t>
                              </w:r>
                            </w:p>
                          </w:txbxContent>
                        </wps:txbx>
                        <wps:bodyPr horzOverflow="overflow" vert="horz" lIns="0" tIns="0" rIns="0" bIns="0" rtlCol="0">
                          <a:noAutofit/>
                        </wps:bodyPr>
                      </wps:wsp>
                      <wps:wsp>
                        <wps:cNvPr id="45" name="Rectangle 45"/>
                        <wps:cNvSpPr/>
                        <wps:spPr>
                          <a:xfrm>
                            <a:off x="144014" y="335883"/>
                            <a:ext cx="41574" cy="148827"/>
                          </a:xfrm>
                          <a:prstGeom prst="rect">
                            <a:avLst/>
                          </a:prstGeom>
                          <a:ln>
                            <a:noFill/>
                          </a:ln>
                        </wps:spPr>
                        <wps:txbx>
                          <w:txbxContent>
                            <w:p w:rsidR="00E27D0F" w:rsidRDefault="00A0669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0" name="Picture 60"/>
                          <pic:cNvPicPr/>
                        </pic:nvPicPr>
                        <pic:blipFill>
                          <a:blip r:embed="rId6"/>
                          <a:stretch>
                            <a:fillRect/>
                          </a:stretch>
                        </pic:blipFill>
                        <pic:spPr>
                          <a:xfrm>
                            <a:off x="0" y="0"/>
                            <a:ext cx="1261872" cy="630936"/>
                          </a:xfrm>
                          <a:prstGeom prst="rect">
                            <a:avLst/>
                          </a:prstGeom>
                        </pic:spPr>
                      </pic:pic>
                      <pic:pic xmlns:pic="http://schemas.openxmlformats.org/drawingml/2006/picture">
                        <pic:nvPicPr>
                          <pic:cNvPr id="62" name="Picture 62"/>
                          <pic:cNvPicPr/>
                        </pic:nvPicPr>
                        <pic:blipFill>
                          <a:blip r:embed="rId7"/>
                          <a:stretch>
                            <a:fillRect/>
                          </a:stretch>
                        </pic:blipFill>
                        <pic:spPr>
                          <a:xfrm>
                            <a:off x="3218688" y="67056"/>
                            <a:ext cx="1591056" cy="533400"/>
                          </a:xfrm>
                          <a:prstGeom prst="rect">
                            <a:avLst/>
                          </a:prstGeom>
                        </pic:spPr>
                      </pic:pic>
                    </wpg:wgp>
                  </a:graphicData>
                </a:graphic>
              </wp:inline>
            </w:drawing>
          </mc:Choice>
          <mc:Fallback xmlns:a="http://schemas.openxmlformats.org/drawingml/2006/main">
            <w:pict>
              <v:group id="Group 884" style="width:378.72pt;height:49.68pt;mso-position-horizontal-relative:char;mso-position-vertical-relative:line" coordsize="48097,6309">
                <v:rect id="Rectangle 44" style="position:absolute;width:415;height:1488;left:1440;top:341;" filled="f" stroked="f">
                  <v:textbox inset="0,0,0,0">
                    <w:txbxContent>
                      <w:p>
                        <w:pPr>
                          <w:spacing w:before="0" w:after="160" w:line="259" w:lineRule="auto"/>
                          <w:ind w:left="0" w:firstLine="0"/>
                          <w:jc w:val="left"/>
                        </w:pPr>
                        <w:r>
                          <w:rPr/>
                          <w:t xml:space="preserve"> </w:t>
                        </w:r>
                      </w:p>
                    </w:txbxContent>
                  </v:textbox>
                </v:rect>
                <v:rect id="Rectangle 45" style="position:absolute;width:415;height:1488;left:1440;top:3358;" filled="f" stroked="f">
                  <v:textbox inset="0,0,0,0">
                    <w:txbxContent>
                      <w:p>
                        <w:pPr>
                          <w:spacing w:before="0" w:after="160" w:line="259" w:lineRule="auto"/>
                          <w:ind w:left="0" w:firstLine="0"/>
                          <w:jc w:val="left"/>
                        </w:pPr>
                        <w:r>
                          <w:rPr/>
                          <w:t xml:space="preserve"> </w:t>
                        </w:r>
                      </w:p>
                    </w:txbxContent>
                  </v:textbox>
                </v:rect>
                <v:shape id="Picture 60" style="position:absolute;width:12618;height:6309;left:0;top:0;" filled="f">
                  <v:imagedata r:id="rId8"/>
                </v:shape>
                <v:shape id="Picture 62" style="position:absolute;width:15910;height:5334;left:32186;top:670;" filled="f">
                  <v:imagedata r:id="rId9"/>
                </v:shape>
              </v:group>
            </w:pict>
          </mc:Fallback>
        </mc:AlternateContent>
      </w:r>
    </w:p>
    <w:p w:rsidR="00E27D0F" w:rsidRDefault="00A06692">
      <w:pPr>
        <w:spacing w:after="26"/>
        <w:ind w:left="578"/>
      </w:pPr>
      <w:r>
        <w:t xml:space="preserve">Cory </w:t>
      </w:r>
      <w:proofErr w:type="spellStart"/>
      <w:r>
        <w:t>Rideout</w:t>
      </w:r>
      <w:proofErr w:type="spellEnd"/>
      <w:r>
        <w:t xml:space="preserve">                                                                                    Brenda Vickers </w:t>
      </w:r>
    </w:p>
    <w:p w:rsidR="00E27D0F" w:rsidRDefault="00A06692">
      <w:pPr>
        <w:tabs>
          <w:tab w:val="center" w:pos="1409"/>
          <w:tab w:val="center" w:pos="2880"/>
          <w:tab w:val="center" w:pos="3600"/>
          <w:tab w:val="center" w:pos="4320"/>
          <w:tab w:val="center" w:pos="5040"/>
          <w:tab w:val="center" w:pos="6602"/>
        </w:tabs>
        <w:spacing w:after="11"/>
        <w:ind w:left="0" w:firstLine="0"/>
        <w:jc w:val="left"/>
      </w:pPr>
      <w:r>
        <w:rPr>
          <w:rFonts w:ascii="Calibri" w:eastAsia="Calibri" w:hAnsi="Calibri" w:cs="Calibri"/>
          <w:sz w:val="22"/>
        </w:rPr>
        <w:tab/>
      </w:r>
      <w:r>
        <w:t xml:space="preserve">Director of Education </w:t>
      </w:r>
      <w:r>
        <w:tab/>
        <w:t xml:space="preserve"> </w:t>
      </w:r>
      <w:r>
        <w:tab/>
        <w:t xml:space="preserve"> </w:t>
      </w:r>
      <w:r>
        <w:tab/>
        <w:t xml:space="preserve"> </w:t>
      </w:r>
      <w:r>
        <w:tab/>
        <w:t xml:space="preserve"> </w:t>
      </w:r>
      <w:r>
        <w:tab/>
        <w:t xml:space="preserve">Director of Education </w:t>
      </w:r>
    </w:p>
    <w:p w:rsidR="00E27D0F" w:rsidRDefault="00A06692">
      <w:pPr>
        <w:spacing w:after="14"/>
        <w:ind w:left="578"/>
      </w:pPr>
      <w:r>
        <w:t xml:space="preserve">Light of Christ Catholic Schools                                                       Living Sky School Division                                                             </w:t>
      </w:r>
    </w:p>
    <w:p w:rsidR="00E27D0F" w:rsidRDefault="00A06692">
      <w:pPr>
        <w:spacing w:after="24"/>
        <w:ind w:left="578"/>
      </w:pPr>
      <w:r>
        <w:t>9301 – 19</w:t>
      </w:r>
      <w:r>
        <w:rPr>
          <w:vertAlign w:val="superscript"/>
        </w:rPr>
        <w:t>th</w:t>
      </w:r>
      <w:r>
        <w:t xml:space="preserve"> Avenue                                                               </w:t>
      </w:r>
      <w:r>
        <w:t xml:space="preserve">           509 Pioneer Avenue </w:t>
      </w:r>
    </w:p>
    <w:p w:rsidR="00E27D0F" w:rsidRDefault="00A06692">
      <w:pPr>
        <w:spacing w:after="43"/>
        <w:ind w:left="578"/>
      </w:pPr>
      <w:r>
        <w:t xml:space="preserve">North Battleford, </w:t>
      </w:r>
      <w:proofErr w:type="gramStart"/>
      <w:r>
        <w:t>SK  S9A</w:t>
      </w:r>
      <w:proofErr w:type="gramEnd"/>
      <w:r>
        <w:t xml:space="preserve"> 3N5                                                        North Battleford, SK  S9A 4A5                                                       </w:t>
      </w:r>
    </w:p>
    <w:p w:rsidR="00E27D0F" w:rsidRDefault="00A06692">
      <w:pPr>
        <w:tabs>
          <w:tab w:val="center" w:pos="1308"/>
          <w:tab w:val="center" w:pos="2880"/>
          <w:tab w:val="center" w:pos="3600"/>
          <w:tab w:val="center" w:pos="4320"/>
          <w:tab w:val="center" w:pos="5040"/>
          <w:tab w:val="center" w:pos="6500"/>
        </w:tabs>
        <w:ind w:left="0" w:firstLine="0"/>
        <w:jc w:val="left"/>
      </w:pPr>
      <w:r>
        <w:rPr>
          <w:rFonts w:ascii="Calibri" w:eastAsia="Calibri" w:hAnsi="Calibri" w:cs="Calibri"/>
          <w:sz w:val="22"/>
        </w:rPr>
        <w:tab/>
      </w:r>
      <w:r>
        <w:t xml:space="preserve">PH:  306-445-6158  </w:t>
      </w:r>
      <w:r>
        <w:tab/>
        <w:t xml:space="preserve"> </w:t>
      </w:r>
      <w:r>
        <w:tab/>
        <w:t xml:space="preserve"> </w:t>
      </w:r>
      <w:r>
        <w:tab/>
        <w:t xml:space="preserve"> </w:t>
      </w:r>
      <w:r>
        <w:tab/>
        <w:t xml:space="preserve"> </w:t>
      </w:r>
      <w:r>
        <w:tab/>
        <w:t xml:space="preserve">PH:  306-937-7702  </w:t>
      </w:r>
      <w:r>
        <w:rPr>
          <w:rFonts w:ascii="Calibri" w:eastAsia="Calibri" w:hAnsi="Calibri" w:cs="Calibri"/>
          <w:sz w:val="22"/>
        </w:rPr>
        <w:t xml:space="preserve"> </w:t>
      </w:r>
    </w:p>
    <w:sectPr w:rsidR="00E27D0F">
      <w:pgSz w:w="12240" w:h="15840"/>
      <w:pgMar w:top="1440" w:right="203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0F"/>
    <w:rsid w:val="00A06692"/>
    <w:rsid w:val="00E27D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48B57-9896-4CCB-A56C-5020E11B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68" w:lineRule="auto"/>
      <w:ind w:left="10" w:hanging="10"/>
      <w:jc w:val="both"/>
    </w:pPr>
    <w:rPr>
      <w:rFonts w:ascii="Leelawadee UI" w:eastAsia="Leelawadee UI" w:hAnsi="Leelawadee UI" w:cs="Leelawadee U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Fair Notice Letter Appendix D.docx</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Fair Notice Letter Appendix D.docx</dc:title>
  <dc:subject/>
  <dc:creator>shannon.lessard</dc:creator>
  <cp:keywords/>
  <cp:lastModifiedBy>Windows User</cp:lastModifiedBy>
  <cp:revision>2</cp:revision>
  <dcterms:created xsi:type="dcterms:W3CDTF">2017-10-24T22:56:00Z</dcterms:created>
  <dcterms:modified xsi:type="dcterms:W3CDTF">2017-10-24T22:56:00Z</dcterms:modified>
</cp:coreProperties>
</file>